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微软雅黑" w:hAnsi="微软雅黑" w:eastAsia="微软雅黑" w:cs="微软雅黑"/>
          <w:b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/>
          <w:color w:val="000000"/>
          <w:sz w:val="28"/>
          <w:szCs w:val="28"/>
        </w:rPr>
        <w:t>二、膳食</w:t>
      </w:r>
      <w:r>
        <w:rPr>
          <w:rFonts w:hint="eastAsia" w:ascii="微软雅黑" w:hAnsi="微软雅黑" w:eastAsia="微软雅黑" w:cs="微软雅黑"/>
          <w:b/>
          <w:color w:val="000000"/>
          <w:sz w:val="28"/>
          <w:szCs w:val="28"/>
          <w:lang w:val="en-US" w:eastAsia="zh-CN"/>
        </w:rPr>
        <w:t>营养管理</w:t>
      </w:r>
      <w:r>
        <w:rPr>
          <w:rFonts w:hint="eastAsia" w:ascii="微软雅黑" w:hAnsi="微软雅黑" w:eastAsia="微软雅黑" w:cs="微软雅黑"/>
          <w:b/>
          <w:color w:val="000000"/>
          <w:sz w:val="28"/>
          <w:szCs w:val="28"/>
        </w:rPr>
        <w:t xml:space="preserve">                            </w:t>
      </w: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一、儿童膳食管理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（一）成立</w:t>
      </w:r>
      <w:bookmarkStart w:id="0" w:name="_GoBack"/>
      <w:bookmarkEnd w:id="0"/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膳食委员会，由园长、后勤主任、保教主任、保健医、财会人员、保教人员、厨师长和家长代表组成，每月召开一次伙委会，时间不少于1小时。每次会议均保存参会人的签到并配有会议记录。每次会议记录均要保存参会人员签字及照片，使会议更加真实。记录内容围绕针对儿童伙食制作、调整等方面的，在3、6、9、12月做完营养计算后要及时反馈上次计算后结果，对需要调整的营养素及时作出改进，并在伙委会记录中体现。真正做到不断总结经验，提高儿童伙食质量的目的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（二）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儿童食品在具有《</w:t>
      </w:r>
      <w:r>
        <w:rPr>
          <w:rFonts w:hint="eastAsia" w:ascii="微软雅黑" w:hAnsi="微软雅黑" w:eastAsia="微软雅黑" w:cs="微软雅黑"/>
          <w:bCs/>
          <w:sz w:val="28"/>
          <w:szCs w:val="28"/>
        </w:rPr>
        <w:t>食品生产许可证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》或《食品流通许可证》的单位采购。食品进货前由后勤主任和保健医进行查验及索票索证，建立采购台账并保管，保健医每天对食堂进货过程进行登记，内容包括进货日期、食品名称、生产日期、保质期、数量、供货单位及联系电话、索证情况（工商执照、卫生许可证、肉类检疫证明）、采购人、感官性状、验收人、台账数据与购货发票相符合，并将购物发票或复印件粘贴于记录页所对应页，复印件字迹清晰。精打细算，计划开支，做到每月账目清晰，每学期膳食收支盈亏不超过2%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（三）根据园所实际情况制定餐、点数，正餐间隔3.5-4小时，进餐时间20-30分钟/餐，准时开饭；保证儿童按需饮水，每日上下午各1-2次集中饮水，1-3岁饮水量为50-100ml/次，3-6岁为100-150ml/次。其他时间随渴随饮。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（四）儿童计划膳食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1、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根据儿童生理需求，以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《中国居民膳食指南》为指导，参考“中国居民膳食营养素参考摄入量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（DRIs）”和各类食物每日参考摄入量，制订儿童膳食计划，食物品种多样化且合理搭配，每周食物品种至少25种。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2、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在主副食的选料、洗涤、切配、烹调的过程中，方法科学合理，减少营养素的损失，符合儿童清淡口味，达到营养膳食的要求。烹调食物注意色、香、味、形，提高儿童的进食兴趣。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3、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为日托园，提供三餐两点，根据膳食计划制订带量食谱，每月制订带量食谱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张，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  <w:lang w:eastAsia="zh-CN"/>
        </w:rPr>
        <w:t>每周不重叠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每三个月做一次营养计算，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营养计算达到能量、蛋白质及其他各种营养素平均摄入量达到“DRIs”的80%以上。</w:t>
      </w:r>
    </w:p>
    <w:p>
      <w:pPr>
        <w:spacing w:line="480" w:lineRule="exact"/>
        <w:ind w:firstLine="560" w:firstLineChars="200"/>
        <w:jc w:val="center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表  儿童各类食物每日参考摄入量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3"/>
        <w:gridCol w:w="3093"/>
        <w:gridCol w:w="3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食物种类</w:t>
            </w:r>
          </w:p>
        </w:tc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2—3岁</w:t>
            </w:r>
          </w:p>
        </w:tc>
        <w:tc>
          <w:tcPr>
            <w:tcW w:w="30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4—5岁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谷类</w:t>
            </w:r>
          </w:p>
        </w:tc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75-125</w:t>
            </w:r>
          </w:p>
        </w:tc>
        <w:tc>
          <w:tcPr>
            <w:tcW w:w="30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100-150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薯类</w:t>
            </w:r>
          </w:p>
        </w:tc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适量</w:t>
            </w:r>
          </w:p>
        </w:tc>
        <w:tc>
          <w:tcPr>
            <w:tcW w:w="30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适量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蔬菜类</w:t>
            </w:r>
          </w:p>
        </w:tc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100-200</w:t>
            </w:r>
          </w:p>
        </w:tc>
        <w:tc>
          <w:tcPr>
            <w:tcW w:w="30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150-300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水果类</w:t>
            </w:r>
          </w:p>
        </w:tc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100-200</w:t>
            </w:r>
          </w:p>
        </w:tc>
        <w:tc>
          <w:tcPr>
            <w:tcW w:w="30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150-250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水产品</w:t>
            </w:r>
          </w:p>
        </w:tc>
        <w:tc>
          <w:tcPr>
            <w:tcW w:w="3093" w:type="dxa"/>
            <w:vMerge w:val="restart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50-75</w:t>
            </w:r>
          </w:p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50</w:t>
            </w:r>
          </w:p>
        </w:tc>
        <w:tc>
          <w:tcPr>
            <w:tcW w:w="3094" w:type="dxa"/>
            <w:vMerge w:val="restart"/>
            <w:noWrap w:val="0"/>
            <w:vAlign w:val="center"/>
          </w:tcPr>
          <w:p>
            <w:pPr>
              <w:spacing w:line="480" w:lineRule="exact"/>
              <w:ind w:firstLine="980" w:firstLineChars="350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70-105</w:t>
            </w:r>
          </w:p>
          <w:p>
            <w:pPr>
              <w:spacing w:line="480" w:lineRule="exact"/>
              <w:ind w:firstLine="980" w:firstLineChars="350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</w:p>
          <w:p>
            <w:pPr>
              <w:spacing w:line="480" w:lineRule="exact"/>
              <w:ind w:firstLine="1260" w:firstLineChars="450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1885315</wp:posOffset>
                      </wp:positionH>
                      <wp:positionV relativeFrom="paragraph">
                        <wp:posOffset>300990</wp:posOffset>
                      </wp:positionV>
                      <wp:extent cx="3980815" cy="0"/>
                      <wp:effectExtent l="0" t="0" r="0" b="0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80815" cy="0"/>
                              </a:xfrm>
                              <a:prstGeom prst="straightConnector1">
                                <a:avLst/>
                              </a:prstGeom>
                              <a:ln w="31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48.45pt;margin-top:23.7pt;height:0pt;width:313.45pt;z-index:251666432;mso-width-relative:page;mso-height-relative:page;" filled="f" stroked="t" coordsize="21600,21600" o:gfxdata="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WU8qP1wAAAAkBAAAPAAAAAAAAAAEAIAAAACIAAABkcnMvZG93bnJldi54&#10;bWxQSwECFAAUAAAACACHTuJA4T0WAvsBAADsAwAADgAAAAAAAAABACAAAAAmAQAAZHJzL2Uyb0Rv&#10;Yy54bWxQSwUGAAAAAAYABgBZAQAAkwUAAAAA&#10;">
                      <v:fill on="f" focussize="0,0"/>
                      <v:stroke weight="0.25pt"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禽畜肉类</w:t>
            </w:r>
          </w:p>
        </w:tc>
        <w:tc>
          <w:tcPr>
            <w:tcW w:w="3093" w:type="dxa"/>
            <w:vMerge w:val="continue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vMerge w:val="continue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蛋类</w:t>
            </w:r>
          </w:p>
        </w:tc>
        <w:tc>
          <w:tcPr>
            <w:tcW w:w="3093" w:type="dxa"/>
            <w:vMerge w:val="continue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</w:p>
        </w:tc>
        <w:tc>
          <w:tcPr>
            <w:tcW w:w="3094" w:type="dxa"/>
            <w:vMerge w:val="continue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大豆</w:t>
            </w:r>
          </w:p>
        </w:tc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5-15</w:t>
            </w:r>
          </w:p>
        </w:tc>
        <w:tc>
          <w:tcPr>
            <w:tcW w:w="30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10-20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坚果</w:t>
            </w:r>
          </w:p>
        </w:tc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30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适量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atLeast"/>
        </w:trPr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乳制品</w:t>
            </w:r>
          </w:p>
        </w:tc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350-500</w:t>
            </w:r>
          </w:p>
        </w:tc>
        <w:tc>
          <w:tcPr>
            <w:tcW w:w="30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350-500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食用油</w:t>
            </w:r>
          </w:p>
        </w:tc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10-20</w:t>
            </w:r>
          </w:p>
        </w:tc>
        <w:tc>
          <w:tcPr>
            <w:tcW w:w="30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20-25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食盐</w:t>
            </w:r>
          </w:p>
        </w:tc>
        <w:tc>
          <w:tcPr>
            <w:tcW w:w="3093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＜2</w:t>
            </w:r>
          </w:p>
        </w:tc>
        <w:tc>
          <w:tcPr>
            <w:tcW w:w="3094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000000"/>
                <w:sz w:val="28"/>
                <w:szCs w:val="28"/>
              </w:rPr>
              <w:t>＜3</w:t>
            </w:r>
          </w:p>
        </w:tc>
      </w:tr>
    </w:tbl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（五）制定食谱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依据平衡膳食宝塔，按照儿童年龄及比例适量分配到三餐中，编制科学、合理、平衡的营养膳食。根据季节特点，选择应季食物，早餐以主食为主、优质蛋白为辅。午餐主副食并重，两菜一汤，一荤一素。晚餐脂肪少，易消化的食物。注重蛋白质的互补作用，充分利用豆制品，减少油炸食品和甜食的供给，尽量少吃转基因食品。在花样食谱的基础上制定带量食谱。将膳食计划中各类食物的每周用量全部反应在食谱中，并定出每餐或每日每人的各种食物原料用量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（六）儿童进餐护理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1、餐前15分钟幼儿不做剧烈运动，避免过度兴奋；做好充足的准备，组织幼儿洗手，做到随洗随吃，减少等待时间，对体弱儿进行照顾，并提出相应的要求。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2、进餐环境卫生、整洁、舒适。进餐时播放轻音乐，保教人员不擦地、扫地、铺床。掌握进食量保证吃饱、吃好，不催饭。对食欲不好的幼儿要分析原因，给予照顾。并纠正儿童偏食、挑食的习惯，培养良好的饮食行为和卫生习惯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3、小班用勺；中班上半学期用勺和筷子过度，中班下学期和大班用筷子进餐。餐后擦嘴，午餐后漱口，以达到清洁口腔预防龋齿的目的。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二、饮食卫生管理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（一）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食堂根据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《食品安全法》、《食品安全法实施条例》以及《餐饮服务许可管理办法》、《餐饮服务食品安全监督管理办法》、《学校食堂与学生集体用餐卫生管理规定》等有关法律法规和规章的要求，取得《餐饮服务许可证》，建立健全各项食品安全管理制度。为儿童提供符合国家《生活饮用水卫生标准》的直饮水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食堂建筑、设备与环境的卫生要求按照教育部、原卫生部颁布的《学校食堂与学生集体用餐卫生管理规定》执行。食堂的建筑、设施、设备均符合食品卫生监督部门的要求。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（二）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库房有窗户，具备通风条件，食品级原材料分类分架，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隔墙离地10公分，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  <w:lang w:eastAsia="zh-CN"/>
        </w:rPr>
        <w:t>勿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放入非食品、个人物品、药品、杂物和潮湿的水果及蔬菜。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货架上每类每批食品都严格标明采购日期、产品名称、产地、规格、生产日期及最终保质时限。库房安装2把锁，2人保存，同时在方可打开，保障食品真正安全。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（三）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食堂每日清扫、消毒，保持内外环境整洁。食品加工用具做到了生熟标识明确、分开使用、定位存放。餐饮具、熟食盛器均在食堂消毒间集中清洗消毒，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使用远红外线高温2个星级以上的的消毒柜消毒，班级不洗餐具包括筷子、勺和水杯，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消毒后保洁柜存放。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（4）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禁止加工变质、有毒、不洁、超过保质期的食物，不制作、不提供冷荤凉菜。分餐间内有独立的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食品留样冰箱，并有明确标识，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留样食品均为幼儿所吃的事物，每样品种不少于1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  <w:lang w:val="en-US" w:eastAsia="zh-CN"/>
        </w:rPr>
        <w:t>00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g，分别盛放于清洗消毒后的密闭专用容器内，在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-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度冷藏条件下存放48小时以上。留样器皿能高温消毒并做到每餐一消毒。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留样记录韩士民负责登记。</w:t>
      </w:r>
    </w:p>
    <w:p>
      <w:pPr>
        <w:spacing w:line="480" w:lineRule="exact"/>
        <w:ind w:firstLine="560" w:firstLineChars="20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（五）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班内进餐环境卫生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、整洁、舒适。餐前做好充分准备，按时进餐，保证儿童情绪愉快，培养儿童良好的饮食行为和卫生习惯，保健医深入班级检查指导，并有巡视记录。</w:t>
      </w: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  （六） 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  <w:lang w:eastAsia="zh-CN"/>
        </w:rPr>
        <w:t>园所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食堂从业人员每年进行健康检查，取得有效的健康证明（妇幼保健院的健康证及食药局的健康证双证）及《卫生法规知识培训合格证》</w:t>
      </w: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    食堂工作人员具有良好的个人卫生习惯，做到工作前、处理食品原料后、便后用 及流动清水洗手；穿戴好工作服，不留长指甲、不染指甲、不带戒指、手环。患有可能造成对事物污染的疾病及传染病、性传播疾病、化脓性或渗出性皮肤病、腹泻、发热、呕吐等病症时立即离岗治疗，治愈后方可上岗。</w:t>
      </w: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</w:p>
    <w:p>
      <w:pPr>
        <w:rPr>
          <w:rFonts w:hint="eastAsia" w:ascii="微软雅黑" w:hAnsi="微软雅黑" w:eastAsia="微软雅黑" w:cs="微软雅黑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42D93"/>
    <w:rsid w:val="25F2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2020-11-13T08:09:00Z</dcterms:created>
  <dc:creator>hoing</dc:creator>
  <cp:lastModifiedBy>粉蝶儿</cp:lastModifiedBy>
  <dcterms:modified xsi:type="dcterms:W3CDTF">2020-11-13T08:25:51Z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